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0ADD3" w14:textId="75266214" w:rsidR="009F62C2" w:rsidRPr="009F62C2" w:rsidRDefault="009F62C2" w:rsidP="009F62C2">
      <w:pPr>
        <w:jc w:val="center"/>
        <w:rPr>
          <w:rFonts w:ascii="Baskerville" w:hAnsi="Baskerville"/>
          <w:b/>
          <w:bCs/>
          <w:sz w:val="28"/>
          <w:szCs w:val="28"/>
        </w:rPr>
      </w:pPr>
      <w:r w:rsidRPr="009F62C2">
        <w:rPr>
          <w:rFonts w:ascii="Baskerville" w:hAnsi="Baskerville"/>
          <w:b/>
          <w:bCs/>
          <w:sz w:val="28"/>
          <w:szCs w:val="28"/>
        </w:rPr>
        <w:t xml:space="preserve">Plenary </w:t>
      </w:r>
      <w:r w:rsidR="004807B7" w:rsidRPr="009F62C2">
        <w:rPr>
          <w:rFonts w:ascii="Baskerville" w:hAnsi="Baskerville"/>
          <w:b/>
          <w:bCs/>
          <w:sz w:val="28"/>
          <w:szCs w:val="28"/>
        </w:rPr>
        <w:t>Indulgences Made Easy (</w:t>
      </w:r>
      <w:r w:rsidR="001B3E97">
        <w:rPr>
          <w:rFonts w:ascii="Baskerville" w:hAnsi="Baskerville"/>
          <w:b/>
          <w:bCs/>
          <w:sz w:val="28"/>
          <w:szCs w:val="28"/>
        </w:rPr>
        <w:t>4</w:t>
      </w:r>
      <w:r w:rsidR="004807B7" w:rsidRPr="009F62C2">
        <w:rPr>
          <w:rFonts w:ascii="Baskerville" w:hAnsi="Baskerville"/>
          <w:b/>
          <w:bCs/>
          <w:sz w:val="28"/>
          <w:szCs w:val="28"/>
        </w:rPr>
        <w:t>):</w:t>
      </w:r>
    </w:p>
    <w:p w14:paraId="499F8B6E" w14:textId="77777777" w:rsidR="009F62C2" w:rsidRPr="009F62C2" w:rsidRDefault="009F62C2" w:rsidP="009F62C2">
      <w:pPr>
        <w:jc w:val="center"/>
        <w:rPr>
          <w:rFonts w:ascii="Baskerville" w:hAnsi="Baskerville"/>
          <w:b/>
          <w:bCs/>
          <w:sz w:val="28"/>
          <w:szCs w:val="28"/>
        </w:rPr>
      </w:pPr>
    </w:p>
    <w:p w14:paraId="583D89B0" w14:textId="5A1CA09F" w:rsidR="00217757" w:rsidRDefault="004807B7" w:rsidP="001B3E97">
      <w:pPr>
        <w:jc w:val="center"/>
        <w:rPr>
          <w:rFonts w:ascii="Baskerville" w:hAnsi="Baskerville"/>
          <w:i/>
          <w:iCs/>
          <w:sz w:val="28"/>
          <w:szCs w:val="28"/>
        </w:rPr>
      </w:pPr>
      <w:r w:rsidRPr="009F62C2">
        <w:rPr>
          <w:rFonts w:ascii="Baskerville" w:hAnsi="Baskerville"/>
          <w:i/>
          <w:iCs/>
          <w:sz w:val="28"/>
          <w:szCs w:val="28"/>
        </w:rPr>
        <w:t xml:space="preserve">For </w:t>
      </w:r>
      <w:r w:rsidR="00217757">
        <w:rPr>
          <w:rFonts w:ascii="Baskerville" w:hAnsi="Baskerville"/>
          <w:i/>
          <w:iCs/>
          <w:sz w:val="28"/>
          <w:szCs w:val="28"/>
        </w:rPr>
        <w:t>any</w:t>
      </w:r>
      <w:r w:rsidR="001B3E97">
        <w:rPr>
          <w:rFonts w:ascii="Baskerville" w:hAnsi="Baskerville"/>
          <w:i/>
          <w:iCs/>
          <w:sz w:val="28"/>
          <w:szCs w:val="28"/>
        </w:rPr>
        <w:t xml:space="preserve"> member of the faithful on the point of death due to any cause</w:t>
      </w:r>
    </w:p>
    <w:p w14:paraId="3F603029" w14:textId="77777777" w:rsidR="001B3E97" w:rsidRDefault="001B3E97" w:rsidP="001B3E97">
      <w:pPr>
        <w:jc w:val="center"/>
        <w:rPr>
          <w:rFonts w:ascii="Baskerville" w:hAnsi="Baskerville"/>
          <w:i/>
          <w:iCs/>
          <w:sz w:val="28"/>
          <w:szCs w:val="28"/>
        </w:rPr>
      </w:pPr>
      <w:r>
        <w:rPr>
          <w:rFonts w:ascii="Baskerville" w:hAnsi="Baskerville"/>
          <w:i/>
          <w:iCs/>
          <w:sz w:val="28"/>
          <w:szCs w:val="28"/>
        </w:rPr>
        <w:t xml:space="preserve">who are unable to receive the Sacraments of </w:t>
      </w:r>
    </w:p>
    <w:p w14:paraId="6F069F88" w14:textId="52631D19" w:rsidR="001B3E97" w:rsidRPr="009F62C2" w:rsidRDefault="001B3E97" w:rsidP="001B3E97">
      <w:pPr>
        <w:jc w:val="center"/>
        <w:rPr>
          <w:rFonts w:ascii="Baskerville" w:hAnsi="Baskerville"/>
          <w:i/>
          <w:iCs/>
          <w:sz w:val="28"/>
          <w:szCs w:val="28"/>
        </w:rPr>
      </w:pPr>
      <w:r>
        <w:rPr>
          <w:rFonts w:ascii="Baskerville" w:hAnsi="Baskerville"/>
          <w:i/>
          <w:iCs/>
          <w:sz w:val="28"/>
          <w:szCs w:val="28"/>
        </w:rPr>
        <w:t>Anointing and Viaticum (Holy Communion)</w:t>
      </w:r>
    </w:p>
    <w:p w14:paraId="02A28638" w14:textId="0593B57E" w:rsidR="00B31255" w:rsidRDefault="00B31255" w:rsidP="009F62C2">
      <w:pPr>
        <w:jc w:val="both"/>
        <w:rPr>
          <w:rFonts w:ascii="Baskerville" w:hAnsi="Baskerville"/>
          <w:sz w:val="28"/>
          <w:szCs w:val="28"/>
        </w:rPr>
      </w:pPr>
    </w:p>
    <w:p w14:paraId="0EA65CFF" w14:textId="77777777" w:rsidR="001B3E97" w:rsidRDefault="001B3E97" w:rsidP="009F62C2">
      <w:pPr>
        <w:jc w:val="both"/>
        <w:rPr>
          <w:rFonts w:ascii="Baskerville" w:hAnsi="Baskerville"/>
          <w:sz w:val="28"/>
          <w:szCs w:val="28"/>
        </w:rPr>
      </w:pPr>
    </w:p>
    <w:p w14:paraId="38EFFC4D" w14:textId="132ECDA4" w:rsidR="00B31255" w:rsidRDefault="001B3E97" w:rsidP="009F62C2">
      <w:pPr>
        <w:jc w:val="both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The Church entrusts each and every person in this situation to the Divine Mercy by virtue of the communion of saints and grants the plenary indulgence provided:</w:t>
      </w:r>
    </w:p>
    <w:p w14:paraId="57026F71" w14:textId="137A1885" w:rsidR="001B3E97" w:rsidRDefault="001B3E97" w:rsidP="009F62C2">
      <w:pPr>
        <w:jc w:val="both"/>
        <w:rPr>
          <w:rFonts w:ascii="Baskerville" w:hAnsi="Baskerville"/>
          <w:sz w:val="28"/>
          <w:szCs w:val="28"/>
        </w:rPr>
      </w:pPr>
    </w:p>
    <w:p w14:paraId="4E0B7152" w14:textId="5FAD492D" w:rsidR="001B3E97" w:rsidRDefault="001B3E97" w:rsidP="001B3E97">
      <w:pPr>
        <w:pStyle w:val="ListParagraph"/>
        <w:numPr>
          <w:ilvl w:val="0"/>
          <w:numId w:val="1"/>
        </w:numPr>
        <w:jc w:val="both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The person is duly disposed (sorrow for all sin, trust in God).</w:t>
      </w:r>
    </w:p>
    <w:p w14:paraId="15DD3850" w14:textId="77777777" w:rsidR="001B3E97" w:rsidRPr="001B3E97" w:rsidRDefault="001B3E97" w:rsidP="001B3E97">
      <w:pPr>
        <w:pStyle w:val="ListParagraph"/>
        <w:ind w:left="360"/>
        <w:jc w:val="both"/>
        <w:rPr>
          <w:rFonts w:ascii="Baskerville" w:hAnsi="Baskerville"/>
          <w:sz w:val="28"/>
          <w:szCs w:val="28"/>
        </w:rPr>
      </w:pPr>
    </w:p>
    <w:p w14:paraId="5E0ABCF7" w14:textId="7DA50E45" w:rsidR="004807B7" w:rsidRDefault="001B3E97" w:rsidP="009F62C2">
      <w:pPr>
        <w:pStyle w:val="ListParagraph"/>
        <w:numPr>
          <w:ilvl w:val="0"/>
          <w:numId w:val="1"/>
        </w:numPr>
        <w:jc w:val="both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The person has recited a few prayers during their lifetime.</w:t>
      </w:r>
    </w:p>
    <w:p w14:paraId="3AB86B35" w14:textId="77777777" w:rsidR="001B3E97" w:rsidRPr="001B3E97" w:rsidRDefault="001B3E97" w:rsidP="001B3E97">
      <w:pPr>
        <w:pStyle w:val="ListParagraph"/>
        <w:rPr>
          <w:rFonts w:ascii="Baskerville" w:hAnsi="Baskerville"/>
          <w:sz w:val="28"/>
          <w:szCs w:val="28"/>
        </w:rPr>
      </w:pPr>
    </w:p>
    <w:p w14:paraId="729E3732" w14:textId="35A7B3AF" w:rsidR="001B3E97" w:rsidRPr="001B3E97" w:rsidRDefault="001B3E97" w:rsidP="009F62C2">
      <w:pPr>
        <w:pStyle w:val="ListParagraph"/>
        <w:numPr>
          <w:ilvl w:val="0"/>
          <w:numId w:val="1"/>
        </w:numPr>
        <w:jc w:val="both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It is recommended that the person uses a crucifix to attain this indulgence. </w:t>
      </w:r>
    </w:p>
    <w:p w14:paraId="5F7D89D0" w14:textId="77777777" w:rsidR="001B3E97" w:rsidRDefault="001B3E97" w:rsidP="001B3E97">
      <w:pPr>
        <w:pStyle w:val="ListParagraph"/>
        <w:ind w:left="360"/>
        <w:jc w:val="both"/>
        <w:rPr>
          <w:rFonts w:ascii="Baskerville" w:hAnsi="Baskerville"/>
          <w:sz w:val="28"/>
          <w:szCs w:val="28"/>
        </w:rPr>
      </w:pPr>
    </w:p>
    <w:p w14:paraId="7AA5DA76" w14:textId="13B0BA55" w:rsidR="00671B28" w:rsidRDefault="001B3E97" w:rsidP="009F62C2">
      <w:pPr>
        <w:jc w:val="both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It is enough for someone to see the Cross or to hold it.</w:t>
      </w:r>
    </w:p>
    <w:p w14:paraId="7DE91070" w14:textId="7128966A" w:rsidR="001B3E97" w:rsidRDefault="001B3E97" w:rsidP="009F62C2">
      <w:pPr>
        <w:jc w:val="both"/>
        <w:rPr>
          <w:rFonts w:ascii="Baskerville" w:hAnsi="Baskerville"/>
          <w:sz w:val="28"/>
          <w:szCs w:val="28"/>
        </w:rPr>
      </w:pPr>
    </w:p>
    <w:p w14:paraId="3D1F58EB" w14:textId="77777777" w:rsidR="001B3E97" w:rsidRDefault="001B3E97" w:rsidP="009F62C2">
      <w:pPr>
        <w:jc w:val="both"/>
        <w:rPr>
          <w:rFonts w:ascii="Baskerville" w:hAnsi="Baskerville"/>
          <w:sz w:val="28"/>
          <w:szCs w:val="28"/>
        </w:rPr>
      </w:pPr>
    </w:p>
    <w:p w14:paraId="745181F1" w14:textId="599A8B1A" w:rsidR="009F62C2" w:rsidRPr="00BD06B4" w:rsidRDefault="009F62C2" w:rsidP="009F62C2">
      <w:pPr>
        <w:jc w:val="both"/>
        <w:rPr>
          <w:rFonts w:ascii="Baskerville" w:hAnsi="Baskerville"/>
          <w:i/>
          <w:iCs/>
          <w:sz w:val="28"/>
          <w:szCs w:val="28"/>
        </w:rPr>
      </w:pPr>
      <w:r w:rsidRPr="00BD06B4">
        <w:rPr>
          <w:rFonts w:ascii="Baskerville" w:hAnsi="Baskerville"/>
          <w:i/>
          <w:iCs/>
          <w:sz w:val="28"/>
          <w:szCs w:val="28"/>
        </w:rPr>
        <w:t xml:space="preserve">Please remember that Indulgences are an expression of the ministry of mercy and compassion of the whole Church under the guidance of our Pastors. </w:t>
      </w:r>
      <w:r w:rsidR="00BD06B4" w:rsidRPr="00BD06B4">
        <w:rPr>
          <w:rFonts w:ascii="Baskerville" w:hAnsi="Baskerville"/>
          <w:i/>
          <w:iCs/>
          <w:sz w:val="28"/>
          <w:szCs w:val="28"/>
        </w:rPr>
        <w:t>They come from our union and communion with the Church in heaven and in purgatory and represent a powerful exchange of grace, holiness and love with the sole aim of our salvation and the glorification of God.</w:t>
      </w:r>
    </w:p>
    <w:p w14:paraId="09E27474" w14:textId="4F9A31E6" w:rsidR="009F62C2" w:rsidRPr="009F62C2" w:rsidRDefault="009F62C2" w:rsidP="009F62C2">
      <w:pPr>
        <w:jc w:val="both"/>
        <w:rPr>
          <w:rFonts w:ascii="Baskerville" w:hAnsi="Baskerville"/>
          <w:sz w:val="28"/>
          <w:szCs w:val="28"/>
        </w:rPr>
      </w:pPr>
    </w:p>
    <w:p w14:paraId="69792163" w14:textId="7821657F" w:rsidR="009F62C2" w:rsidRDefault="009F62C2" w:rsidP="009F62C2">
      <w:pPr>
        <w:jc w:val="both"/>
        <w:rPr>
          <w:rFonts w:ascii="Baskerville" w:hAnsi="Baskerville"/>
          <w:i/>
          <w:iCs/>
          <w:sz w:val="28"/>
          <w:szCs w:val="28"/>
        </w:rPr>
      </w:pPr>
      <w:r w:rsidRPr="009F62C2">
        <w:rPr>
          <w:rFonts w:ascii="Baskerville" w:hAnsi="Baskerville"/>
          <w:i/>
          <w:iCs/>
          <w:sz w:val="28"/>
          <w:szCs w:val="28"/>
        </w:rPr>
        <w:t>For a fuller explanation of indulgences, see previous posting entitled “Decree from Rome Granting Special Indulgences”, of 20</w:t>
      </w:r>
      <w:r w:rsidRPr="009F62C2">
        <w:rPr>
          <w:rFonts w:ascii="Baskerville" w:hAnsi="Baskerville"/>
          <w:i/>
          <w:iCs/>
          <w:sz w:val="28"/>
          <w:szCs w:val="28"/>
          <w:vertAlign w:val="superscript"/>
        </w:rPr>
        <w:t>th</w:t>
      </w:r>
      <w:r w:rsidRPr="009F62C2">
        <w:rPr>
          <w:rFonts w:ascii="Baskerville" w:hAnsi="Baskerville"/>
          <w:i/>
          <w:iCs/>
          <w:sz w:val="28"/>
          <w:szCs w:val="28"/>
        </w:rPr>
        <w:t xml:space="preserve"> March 2020.</w:t>
      </w:r>
    </w:p>
    <w:p w14:paraId="343FBC1D" w14:textId="0C206B7F" w:rsidR="00B31255" w:rsidRDefault="00B31255" w:rsidP="009F62C2">
      <w:pPr>
        <w:jc w:val="both"/>
        <w:rPr>
          <w:rFonts w:ascii="Baskerville" w:hAnsi="Baskerville"/>
          <w:i/>
          <w:iCs/>
          <w:sz w:val="28"/>
          <w:szCs w:val="28"/>
        </w:rPr>
      </w:pPr>
    </w:p>
    <w:p w14:paraId="2A98C047" w14:textId="0D2A3C00" w:rsidR="00B31255" w:rsidRDefault="00B31255" w:rsidP="009F62C2">
      <w:pPr>
        <w:jc w:val="both"/>
        <w:rPr>
          <w:rFonts w:ascii="Baskerville" w:hAnsi="Baskerville"/>
          <w:i/>
          <w:iCs/>
          <w:sz w:val="28"/>
          <w:szCs w:val="28"/>
        </w:rPr>
      </w:pPr>
    </w:p>
    <w:sectPr w:rsidR="00B31255" w:rsidSect="00160D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47FD3"/>
    <w:multiLevelType w:val="hybridMultilevel"/>
    <w:tmpl w:val="1B5E65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B7"/>
    <w:rsid w:val="00160D41"/>
    <w:rsid w:val="001B3E97"/>
    <w:rsid w:val="00217757"/>
    <w:rsid w:val="002F3CF7"/>
    <w:rsid w:val="00334CCB"/>
    <w:rsid w:val="004807B7"/>
    <w:rsid w:val="004E5893"/>
    <w:rsid w:val="00671B28"/>
    <w:rsid w:val="006C34FC"/>
    <w:rsid w:val="00836781"/>
    <w:rsid w:val="009F62C2"/>
    <w:rsid w:val="009F7A95"/>
    <w:rsid w:val="00A24E7E"/>
    <w:rsid w:val="00B31255"/>
    <w:rsid w:val="00BD06B4"/>
    <w:rsid w:val="00EB73A6"/>
    <w:rsid w:val="00EC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B898B"/>
  <w15:chartTrackingRefBased/>
  <w15:docId w15:val="{183FDA0E-BCE5-074B-A64A-E989D381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2020-03-26T16:48:00Z</dcterms:created>
  <dcterms:modified xsi:type="dcterms:W3CDTF">2020-03-26T16:48:00Z</dcterms:modified>
</cp:coreProperties>
</file>